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BDC" w:rsidRDefault="00E96BDC" w:rsidP="00E96BDC">
      <w:pPr>
        <w:jc w:val="right"/>
        <w:rPr>
          <w:b/>
          <w:u w:val="single"/>
        </w:rPr>
      </w:pPr>
      <w:r>
        <w:rPr>
          <w:b/>
          <w:u w:val="single"/>
        </w:rPr>
        <w:t xml:space="preserve">Lublin, 10.07.2018r. </w:t>
      </w:r>
    </w:p>
    <w:p w:rsidR="00E96BDC" w:rsidRDefault="00E96BDC" w:rsidP="00E96BDC">
      <w:pPr>
        <w:jc w:val="both"/>
        <w:rPr>
          <w:b/>
          <w:u w:val="single"/>
        </w:rPr>
      </w:pPr>
    </w:p>
    <w:p w:rsidR="00E96BDC" w:rsidRDefault="00E96BDC" w:rsidP="00E96BDC">
      <w:pPr>
        <w:jc w:val="both"/>
        <w:rPr>
          <w:b/>
          <w:u w:val="single"/>
        </w:rPr>
      </w:pPr>
    </w:p>
    <w:p w:rsidR="00E96BDC" w:rsidRDefault="00E96BDC" w:rsidP="00E96BDC">
      <w:pPr>
        <w:autoSpaceDE w:val="0"/>
        <w:autoSpaceDN w:val="0"/>
        <w:adjustRightInd w:val="0"/>
        <w:jc w:val="both"/>
        <w:rPr>
          <w:b/>
          <w:u w:val="single"/>
        </w:rPr>
      </w:pPr>
      <w:r>
        <w:rPr>
          <w:b/>
          <w:u w:val="single"/>
        </w:rPr>
        <w:t xml:space="preserve">W związku z tym, że w dniach 5-6.07.2018 wpłynęły pytania dotyczące postępowania prowadzonego zgodnie z zasadą konkurencyjności </w:t>
      </w:r>
      <w:r>
        <w:rPr>
          <w:rFonts w:cs="Arial-BoldMT"/>
          <w:b/>
          <w:bCs/>
          <w:lang w:eastAsia="pl-PL"/>
        </w:rPr>
        <w:t>n</w:t>
      </w:r>
      <w:r>
        <w:rPr>
          <w:rFonts w:cs="Arial-BoldMT"/>
          <w:b/>
          <w:bCs/>
          <w:lang w:eastAsia="pl-PL"/>
        </w:rPr>
        <w:t xml:space="preserve">a zakup, dostawę, montaż  i uruchomienie </w:t>
      </w:r>
      <w:r w:rsidR="00760AB6">
        <w:rPr>
          <w:rFonts w:cs="Arial-BoldMT"/>
          <w:b/>
          <w:bCs/>
          <w:lang w:eastAsia="pl-PL"/>
        </w:rPr>
        <w:t>symulatorów medycznych</w:t>
      </w:r>
      <w:r>
        <w:rPr>
          <w:rFonts w:cs="Arial-BoldMT"/>
          <w:b/>
          <w:bCs/>
          <w:lang w:eastAsia="pl-PL"/>
        </w:rPr>
        <w:t xml:space="preserve"> jako wyposażenia </w:t>
      </w:r>
      <w:proofErr w:type="spellStart"/>
      <w:r>
        <w:rPr>
          <w:rFonts w:cs="Arial-BoldMT"/>
          <w:b/>
          <w:bCs/>
          <w:lang w:eastAsia="pl-PL"/>
        </w:rPr>
        <w:t>sal</w:t>
      </w:r>
      <w:proofErr w:type="spellEnd"/>
      <w:r>
        <w:rPr>
          <w:rFonts w:cs="Arial-BoldMT"/>
          <w:b/>
          <w:bCs/>
          <w:lang w:eastAsia="pl-PL"/>
        </w:rPr>
        <w:t xml:space="preserve"> </w:t>
      </w:r>
      <w:proofErr w:type="spellStart"/>
      <w:r>
        <w:rPr>
          <w:rFonts w:cs="Arial-BoldMT"/>
          <w:b/>
          <w:bCs/>
          <w:lang w:eastAsia="pl-PL"/>
        </w:rPr>
        <w:t>Monoprofilowego</w:t>
      </w:r>
      <w:proofErr w:type="spellEnd"/>
      <w:r>
        <w:rPr>
          <w:rFonts w:cs="Arial-BoldMT"/>
          <w:b/>
          <w:bCs/>
          <w:lang w:eastAsia="pl-PL"/>
        </w:rPr>
        <w:t xml:space="preserve">  Centrum Symulacji Medycznej Wy</w:t>
      </w:r>
      <w:r>
        <w:rPr>
          <w:rFonts w:cs="Arial"/>
          <w:b/>
          <w:lang w:eastAsia="pl-PL"/>
        </w:rPr>
        <w:t>ż</w:t>
      </w:r>
      <w:r>
        <w:rPr>
          <w:rFonts w:cs="Arial-BoldMT"/>
          <w:b/>
          <w:bCs/>
          <w:lang w:eastAsia="pl-PL"/>
        </w:rPr>
        <w:t>szej Szkoły Ekonomii i Innowacji Lublinie</w:t>
      </w:r>
    </w:p>
    <w:p w:rsidR="00E96BDC" w:rsidRDefault="00E96BDC" w:rsidP="00321DBC">
      <w:pPr>
        <w:rPr>
          <w:b/>
          <w:u w:val="single"/>
        </w:rPr>
      </w:pPr>
    </w:p>
    <w:p w:rsidR="00ED7E92" w:rsidRPr="00E72EC0" w:rsidRDefault="00ED7E92" w:rsidP="00321DBC">
      <w:pPr>
        <w:rPr>
          <w:b/>
          <w:u w:val="single"/>
        </w:rPr>
      </w:pPr>
      <w:r w:rsidRPr="00E72EC0">
        <w:rPr>
          <w:b/>
          <w:u w:val="single"/>
        </w:rPr>
        <w:t>Pytanie:</w:t>
      </w:r>
    </w:p>
    <w:p w:rsidR="00321DBC" w:rsidRPr="00E72EC0" w:rsidRDefault="00321DBC" w:rsidP="00321DBC"/>
    <w:p w:rsidR="00614FBD" w:rsidRPr="00E72EC0" w:rsidRDefault="00614FBD" w:rsidP="00E96BDC">
      <w:pPr>
        <w:pStyle w:val="Akapitzlist"/>
        <w:numPr>
          <w:ilvl w:val="0"/>
          <w:numId w:val="3"/>
        </w:numPr>
        <w:jc w:val="both"/>
      </w:pPr>
      <w:r w:rsidRPr="00E72EC0">
        <w:t xml:space="preserve">Czy Zamawiający dopuści </w:t>
      </w:r>
      <w:r w:rsidR="00991CF8" w:rsidRPr="00E72EC0">
        <w:t>inne referencje niż dostawy symula</w:t>
      </w:r>
      <w:r w:rsidRPr="00E72EC0">
        <w:t>torów, np. dostawę sprzętu/aparatury/urządzeń medycznych? Jeżeli tak to czy Zamawiający zamiast trzech referencji na kwotę min. 50 tys. zł zgodzi się na jedną na kwotę ponad 380 tys. zł, drugą na kwotę powyżej 70 tys. zł i dwie na kwotę powyżej 30 tys. zł?</w:t>
      </w:r>
    </w:p>
    <w:p w:rsidR="00ED7E92" w:rsidRPr="00E72EC0" w:rsidRDefault="00ED7E92" w:rsidP="00E96BDC">
      <w:pPr>
        <w:jc w:val="both"/>
      </w:pPr>
    </w:p>
    <w:p w:rsidR="00ED7E92" w:rsidRPr="00E72EC0" w:rsidRDefault="00ED7E92" w:rsidP="00ED7E92"/>
    <w:p w:rsidR="00ED7E92" w:rsidRPr="00E72EC0" w:rsidRDefault="00ED7E92" w:rsidP="00ED7E92">
      <w:pPr>
        <w:rPr>
          <w:b/>
          <w:u w:val="single"/>
        </w:rPr>
      </w:pPr>
      <w:r w:rsidRPr="00E72EC0">
        <w:rPr>
          <w:b/>
          <w:u w:val="single"/>
        </w:rPr>
        <w:t>Odpowiedź:</w:t>
      </w:r>
    </w:p>
    <w:p w:rsidR="00ED7E92" w:rsidRPr="00E72EC0" w:rsidRDefault="00ED7E92" w:rsidP="00ED7E92"/>
    <w:p w:rsidR="00ED7E92" w:rsidRPr="00E72EC0" w:rsidRDefault="00ED7E92" w:rsidP="00ED7E92">
      <w:pPr>
        <w:jc w:val="both"/>
      </w:pPr>
      <w:r w:rsidRPr="00E72EC0">
        <w:t xml:space="preserve">Organizator postępowania  w postępowaniu na dostawę zaawansowanych symulatorów medycznych nie dopuszcza referencji innych niż przedmiot postępowania.  Opis wymagań pozostaje bez zmian. </w:t>
      </w:r>
    </w:p>
    <w:p w:rsidR="00614FBD" w:rsidRPr="00E72EC0" w:rsidRDefault="00614FBD" w:rsidP="00614FBD"/>
    <w:p w:rsidR="00CF28D0" w:rsidRPr="00E72EC0" w:rsidRDefault="00ED7E92" w:rsidP="00CF28D0">
      <w:pPr>
        <w:rPr>
          <w:rFonts w:eastAsia="Times New Roman" w:cs="Calibri"/>
          <w:b/>
          <w:color w:val="000000"/>
          <w:u w:val="single"/>
          <w:lang w:eastAsia="pl-PL"/>
        </w:rPr>
      </w:pPr>
      <w:r w:rsidRPr="00E72EC0">
        <w:rPr>
          <w:rFonts w:eastAsia="Times New Roman" w:cs="Calibri"/>
          <w:b/>
          <w:color w:val="000000"/>
          <w:u w:val="single"/>
          <w:lang w:eastAsia="pl-PL"/>
        </w:rPr>
        <w:t>Pytanie:</w:t>
      </w:r>
    </w:p>
    <w:p w:rsidR="00ED7E92" w:rsidRPr="00E72EC0" w:rsidRDefault="00ED7E92" w:rsidP="00CF28D0">
      <w:pPr>
        <w:rPr>
          <w:rFonts w:eastAsia="Times New Roman" w:cs="Calibri"/>
          <w:color w:val="000000"/>
          <w:lang w:eastAsia="pl-PL"/>
        </w:rPr>
      </w:pPr>
    </w:p>
    <w:p w:rsidR="00ED7E92" w:rsidRPr="00E72EC0" w:rsidRDefault="00ED7E92" w:rsidP="00ED7E92">
      <w:pPr>
        <w:jc w:val="both"/>
        <w:rPr>
          <w:rFonts w:cs="Times New Roman"/>
        </w:rPr>
      </w:pPr>
      <w:r w:rsidRPr="00E72EC0">
        <w:rPr>
          <w:rFonts w:cs="Times New Roman"/>
        </w:rPr>
        <w:t>Zwracamy się do Zamawiającego z prośbą o wydłużenie czasu reakcji serwisowej na 24 godziny. Wedle naszej wiedzy i doświadczenia 24 godzinny czas reakcji serwisowej jest najczęściej stosowanym i najbardziej realnym czasem do spełnienia.</w:t>
      </w:r>
    </w:p>
    <w:p w:rsidR="00ED7E92" w:rsidRPr="00E72EC0" w:rsidRDefault="00ED7E92" w:rsidP="00ED7E92">
      <w:pPr>
        <w:jc w:val="both"/>
        <w:rPr>
          <w:rFonts w:cs="Times New Roman"/>
        </w:rPr>
      </w:pPr>
    </w:p>
    <w:p w:rsidR="00ED7E92" w:rsidRPr="00E72EC0" w:rsidRDefault="00ED7E92" w:rsidP="00ED7E92">
      <w:pPr>
        <w:jc w:val="both"/>
        <w:rPr>
          <w:rFonts w:cs="Times New Roman"/>
          <w:b/>
          <w:u w:val="single"/>
        </w:rPr>
      </w:pPr>
      <w:r w:rsidRPr="00E72EC0">
        <w:rPr>
          <w:rFonts w:cs="Times New Roman"/>
          <w:b/>
          <w:u w:val="single"/>
        </w:rPr>
        <w:t>Odpowiedź:</w:t>
      </w:r>
    </w:p>
    <w:p w:rsidR="00ED7E92" w:rsidRPr="00E72EC0" w:rsidRDefault="00ED7E92" w:rsidP="00ED7E92">
      <w:pPr>
        <w:jc w:val="both"/>
        <w:rPr>
          <w:rFonts w:cs="Times New Roman"/>
          <w:b/>
          <w:u w:val="single"/>
        </w:rPr>
      </w:pPr>
    </w:p>
    <w:p w:rsidR="00ED7E92" w:rsidRPr="00E72EC0" w:rsidRDefault="00ED7E92" w:rsidP="00ED7E92">
      <w:pPr>
        <w:jc w:val="both"/>
        <w:rPr>
          <w:rFonts w:cs="Times New Roman"/>
        </w:rPr>
      </w:pPr>
      <w:r w:rsidRPr="00E72EC0">
        <w:rPr>
          <w:rFonts w:cs="Times New Roman"/>
        </w:rPr>
        <w:t xml:space="preserve">Z uwagi na istotny interes Uczelni, zapis pozostaje bez zmian. Uczelnia posiada dużą liczbę studentów na kierunku Pielęgniarstwo, w związku z tym nie może sobie pozwolić na wydłużenie czasu reakcji na zgłoszony problem. Uczelnia nie może zawiesić realizacji zajęć na kierunku i czekać na reakcję ze strony dostawcy urządzeń. Na kierunku łącznie realizowanych jest 4300 godzin zajęć, w tym 2300 zajęć praktycznych i praktyk zawodowych. Każda przerwa w zajęciach z logistycznego punktu widzenia powoduje kolizje na innych tokach. </w:t>
      </w:r>
    </w:p>
    <w:p w:rsidR="00ED7E92" w:rsidRPr="00E72EC0" w:rsidRDefault="00ED7E92" w:rsidP="00ED7E92">
      <w:pPr>
        <w:jc w:val="both"/>
        <w:rPr>
          <w:rFonts w:cs="Times New Roman"/>
          <w:b/>
          <w:u w:val="single"/>
        </w:rPr>
      </w:pPr>
    </w:p>
    <w:p w:rsidR="00ED7E92" w:rsidRPr="00E72EC0" w:rsidRDefault="00E72EC0" w:rsidP="00ED7E92">
      <w:pPr>
        <w:jc w:val="both"/>
        <w:rPr>
          <w:rFonts w:cs="Times New Roman"/>
          <w:b/>
          <w:u w:val="single"/>
        </w:rPr>
      </w:pPr>
      <w:r w:rsidRPr="00E72EC0">
        <w:rPr>
          <w:rFonts w:cs="Times New Roman"/>
          <w:b/>
          <w:u w:val="single"/>
        </w:rPr>
        <w:t>Pytanie:</w:t>
      </w:r>
    </w:p>
    <w:p w:rsidR="00ED7E92" w:rsidRPr="00E72EC0" w:rsidRDefault="00ED7E92" w:rsidP="00ED7E92">
      <w:pPr>
        <w:jc w:val="both"/>
        <w:rPr>
          <w:rFonts w:cs="Times New Roman"/>
        </w:rPr>
      </w:pPr>
    </w:p>
    <w:p w:rsidR="00ED7E92" w:rsidRPr="00E72EC0" w:rsidRDefault="00ED7E92" w:rsidP="00ED7E92">
      <w:pPr>
        <w:jc w:val="both"/>
        <w:rPr>
          <w:rFonts w:cs="Times New Roman"/>
        </w:rPr>
      </w:pPr>
      <w:r w:rsidRPr="00E72EC0">
        <w:rPr>
          <w:rFonts w:cs="Times New Roman"/>
        </w:rPr>
        <w:t>Zwracamy się do Zamawiającego z  prośbą o wydłużenie czasu naprawy z 5 dni na 14 dni roboczych w przypadku  użycia części zamiennych lub dostarczenie sprzętu zamiennego w przypadku dłuższej naprawy. W uzasadnieniu wskazujemy, iż wedle naszej wiedzy część producentów opisywanych przedmiotów zamówienia posiada magazyny części zamiennych po za granicami Unii Europejskiej, co znacznie wydłuża czas ich sprowadzenia w przypadku wystąpienia awarii, a tym samym uniemożliwia wykonanie naprawy w ciągu 5 dni.</w:t>
      </w:r>
    </w:p>
    <w:p w:rsidR="00ED7E92" w:rsidRPr="00E72EC0" w:rsidRDefault="00ED7E92" w:rsidP="00ED7E92">
      <w:pPr>
        <w:jc w:val="both"/>
        <w:rPr>
          <w:rFonts w:cs="Times New Roman"/>
        </w:rPr>
      </w:pPr>
    </w:p>
    <w:p w:rsidR="00E72EC0" w:rsidRPr="00E72EC0" w:rsidRDefault="00E72EC0" w:rsidP="00ED7E92">
      <w:pPr>
        <w:jc w:val="both"/>
        <w:rPr>
          <w:rFonts w:cs="Times New Roman"/>
          <w:b/>
          <w:u w:val="single"/>
        </w:rPr>
      </w:pPr>
      <w:r w:rsidRPr="00E72EC0">
        <w:rPr>
          <w:rFonts w:cs="Times New Roman"/>
          <w:b/>
          <w:u w:val="single"/>
        </w:rPr>
        <w:t>Odpowiedź</w:t>
      </w:r>
    </w:p>
    <w:p w:rsidR="00E72EC0" w:rsidRPr="00E72EC0" w:rsidRDefault="00E72EC0" w:rsidP="00ED7E92">
      <w:pPr>
        <w:jc w:val="both"/>
        <w:rPr>
          <w:rFonts w:cs="Times New Roman"/>
          <w:u w:val="single"/>
        </w:rPr>
      </w:pPr>
    </w:p>
    <w:p w:rsidR="00E72EC0" w:rsidRPr="00E72EC0" w:rsidRDefault="00E72EC0" w:rsidP="00E72EC0">
      <w:pPr>
        <w:jc w:val="both"/>
        <w:rPr>
          <w:rFonts w:cs="Times New Roman"/>
        </w:rPr>
      </w:pPr>
      <w:r w:rsidRPr="00E72EC0">
        <w:rPr>
          <w:rFonts w:cs="Times New Roman"/>
        </w:rPr>
        <w:t xml:space="preserve">Z uwagi na istotny interes Uczelni, zapis pozostaje bez zmian. Uczelnia posiada dużą liczbę studentów na kierunku Pielęgniarstwo, w związku z tym nie może sobie pozwolić na wydłużenie czasu reakcji na zgłoszony problem. Uczelnia nie może zawiesić realizacji zajęć na kierunku i czekać na reakcję ze strony dostawcy urządzeń. Na kierunku łącznie realizowanych jest 4300 godzin zajęć, w tym 2300 zajęć praktycznych i praktyk zawodowych. Każda przerwa w zajęciach z logistycznego punktu widzenia powoduje kolizje na innych tokach. Uczelnia nie może sobie pozwolić na  3 tygodniową przerwę w prowadzeniu zajęć.  Zorganizowanie </w:t>
      </w:r>
      <w:r w:rsidRPr="00E72EC0">
        <w:rPr>
          <w:rFonts w:cs="Times New Roman"/>
        </w:rPr>
        <w:lastRenderedPageBreak/>
        <w:t xml:space="preserve">dodatkowych zajęć specjalnie z wykorzystaniem symulatora dla studentów z przyczyn organizacyjnych i finansowych nie jest możliwe. </w:t>
      </w:r>
    </w:p>
    <w:p w:rsidR="00E72EC0" w:rsidRPr="00E72EC0" w:rsidRDefault="00E72EC0" w:rsidP="00ED7E92">
      <w:pPr>
        <w:jc w:val="both"/>
        <w:rPr>
          <w:rFonts w:cs="Times New Roman"/>
          <w:u w:val="single"/>
        </w:rPr>
      </w:pPr>
    </w:p>
    <w:p w:rsidR="00E72EC0" w:rsidRPr="00E72EC0" w:rsidRDefault="00E72EC0" w:rsidP="00ED7E92">
      <w:pPr>
        <w:jc w:val="both"/>
        <w:rPr>
          <w:rFonts w:cs="Times New Roman"/>
          <w:u w:val="single"/>
        </w:rPr>
      </w:pPr>
    </w:p>
    <w:p w:rsidR="00E72EC0" w:rsidRPr="00E72EC0" w:rsidRDefault="00E72EC0" w:rsidP="00ED7E92">
      <w:pPr>
        <w:jc w:val="both"/>
        <w:rPr>
          <w:rFonts w:cs="Times New Roman"/>
          <w:b/>
          <w:u w:val="single"/>
        </w:rPr>
      </w:pPr>
      <w:r w:rsidRPr="00E72EC0">
        <w:rPr>
          <w:rFonts w:cs="Times New Roman"/>
          <w:b/>
          <w:u w:val="single"/>
        </w:rPr>
        <w:t>Pytanie:</w:t>
      </w:r>
    </w:p>
    <w:p w:rsidR="00E72EC0" w:rsidRPr="00E72EC0" w:rsidRDefault="00E72EC0" w:rsidP="00ED7E92">
      <w:pPr>
        <w:jc w:val="both"/>
        <w:rPr>
          <w:rFonts w:cs="Times New Roman"/>
          <w:u w:val="single"/>
        </w:rPr>
      </w:pPr>
    </w:p>
    <w:p w:rsidR="00ED7E92" w:rsidRPr="00E72EC0" w:rsidRDefault="00ED7E92" w:rsidP="00ED7E92">
      <w:pPr>
        <w:jc w:val="both"/>
        <w:rPr>
          <w:rFonts w:cs="Times New Roman"/>
          <w:u w:val="single"/>
        </w:rPr>
      </w:pPr>
      <w:r w:rsidRPr="00E72EC0">
        <w:rPr>
          <w:rFonts w:cs="Times New Roman"/>
          <w:u w:val="single"/>
        </w:rPr>
        <w:t>Pyt. 3. Dot. Poz. 5.3 Zaawansowany fantom PALS niemowlę – 1 szt.</w:t>
      </w:r>
    </w:p>
    <w:p w:rsidR="00ED7E92" w:rsidRPr="00E72EC0" w:rsidRDefault="00ED7E92" w:rsidP="00ED7E92">
      <w:pPr>
        <w:jc w:val="both"/>
        <w:rPr>
          <w:rFonts w:cs="Times New Roman"/>
        </w:rPr>
      </w:pPr>
      <w:r w:rsidRPr="00E72EC0">
        <w:rPr>
          <w:rFonts w:cs="Times New Roman"/>
        </w:rPr>
        <w:t xml:space="preserve">Zwracamy się z prośbą do Zamawiającego o zmianę zapisu w pkt. 3. z: „Posiada w pełni ruchomą szyję, głowę i żuchwę” na zapis: „Posiada ruchomą głowę i pozwala na wykonanie manewru </w:t>
      </w:r>
      <w:proofErr w:type="spellStart"/>
      <w:r w:rsidRPr="00E72EC0">
        <w:rPr>
          <w:rFonts w:cs="Times New Roman"/>
        </w:rPr>
        <w:t>Sellicka</w:t>
      </w:r>
      <w:proofErr w:type="spellEnd"/>
      <w:r w:rsidRPr="00E72EC0">
        <w:rPr>
          <w:rFonts w:cs="Times New Roman"/>
        </w:rPr>
        <w:t xml:space="preserve">” oraz o zmianę zapisu w pkt. 6 z: „wkłucia </w:t>
      </w:r>
      <w:proofErr w:type="spellStart"/>
      <w:r w:rsidRPr="00E72EC0">
        <w:rPr>
          <w:rFonts w:cs="Times New Roman"/>
        </w:rPr>
        <w:t>doszpikowe</w:t>
      </w:r>
      <w:proofErr w:type="spellEnd"/>
      <w:r w:rsidRPr="00E72EC0">
        <w:rPr>
          <w:rFonts w:cs="Times New Roman"/>
        </w:rPr>
        <w:t xml:space="preserve"> w prawej i lewej nodze” na „wkłucia </w:t>
      </w:r>
      <w:proofErr w:type="spellStart"/>
      <w:r w:rsidRPr="00E72EC0">
        <w:rPr>
          <w:rFonts w:cs="Times New Roman"/>
        </w:rPr>
        <w:t>doszpikowe</w:t>
      </w:r>
      <w:proofErr w:type="spellEnd"/>
      <w:r w:rsidRPr="00E72EC0">
        <w:rPr>
          <w:rFonts w:cs="Times New Roman"/>
        </w:rPr>
        <w:t xml:space="preserve"> w prawej nodze”. Według naszej wiedzy i opisu na stronie producenta opisany w specyfikacji fantom zawiera proponowane przez nas parametry. </w:t>
      </w:r>
    </w:p>
    <w:p w:rsidR="00ED7E92" w:rsidRPr="00E72EC0" w:rsidRDefault="00ED7E92" w:rsidP="00ED7E92">
      <w:pPr>
        <w:jc w:val="both"/>
        <w:rPr>
          <w:rFonts w:cs="Times New Roman"/>
        </w:rPr>
      </w:pPr>
    </w:p>
    <w:p w:rsidR="00E72EC0" w:rsidRPr="008C5AF9" w:rsidRDefault="00E72EC0" w:rsidP="00ED7E92">
      <w:pPr>
        <w:jc w:val="both"/>
        <w:rPr>
          <w:rFonts w:cs="Times New Roman"/>
          <w:b/>
          <w:u w:val="single"/>
        </w:rPr>
      </w:pPr>
      <w:r w:rsidRPr="008C5AF9">
        <w:rPr>
          <w:rFonts w:cs="Times New Roman"/>
          <w:b/>
          <w:u w:val="single"/>
        </w:rPr>
        <w:t>Odpowiedź:</w:t>
      </w:r>
    </w:p>
    <w:p w:rsidR="00E72EC0" w:rsidRPr="00E72EC0" w:rsidRDefault="00E72EC0" w:rsidP="00ED7E92">
      <w:pPr>
        <w:jc w:val="both"/>
        <w:rPr>
          <w:rFonts w:cs="Times New Roman"/>
        </w:rPr>
      </w:pPr>
    </w:p>
    <w:p w:rsidR="00E72EC0" w:rsidRPr="00E72EC0" w:rsidRDefault="00792DDA" w:rsidP="00ED7E92">
      <w:pPr>
        <w:jc w:val="both"/>
        <w:rPr>
          <w:rFonts w:cs="Times New Roman"/>
        </w:rPr>
      </w:pPr>
      <w:r>
        <w:rPr>
          <w:rFonts w:cs="Times New Roman"/>
        </w:rPr>
        <w:t xml:space="preserve">Organizator nie wyraża zgody na zmianę wymagania dotyczącego  cyt. </w:t>
      </w:r>
      <w:r w:rsidRPr="00E72EC0">
        <w:rPr>
          <w:rFonts w:cs="Times New Roman"/>
        </w:rPr>
        <w:t xml:space="preserve">„Posiada ruchomą głowę i pozwala na wykonanie manewru </w:t>
      </w:r>
      <w:proofErr w:type="spellStart"/>
      <w:r w:rsidRPr="00E72EC0">
        <w:rPr>
          <w:rFonts w:cs="Times New Roman"/>
        </w:rPr>
        <w:t>Sellicka</w:t>
      </w:r>
      <w:proofErr w:type="spellEnd"/>
      <w:r w:rsidRPr="00E72EC0">
        <w:rPr>
          <w:rFonts w:cs="Times New Roman"/>
        </w:rPr>
        <w:t>”</w:t>
      </w:r>
      <w:r>
        <w:rPr>
          <w:rFonts w:cs="Times New Roman"/>
        </w:rPr>
        <w:t xml:space="preserve">. Zapis pozostaje bez zmian. </w:t>
      </w:r>
    </w:p>
    <w:p w:rsidR="00E72EC0" w:rsidRDefault="00E72EC0" w:rsidP="00ED7E92">
      <w:pPr>
        <w:jc w:val="both"/>
        <w:rPr>
          <w:rFonts w:cs="Times New Roman"/>
        </w:rPr>
      </w:pPr>
    </w:p>
    <w:p w:rsidR="008E311B" w:rsidRDefault="008E311B" w:rsidP="00ED7E92">
      <w:pPr>
        <w:jc w:val="both"/>
        <w:rPr>
          <w:rFonts w:cs="Times New Roman"/>
        </w:rPr>
      </w:pPr>
    </w:p>
    <w:p w:rsidR="008E311B" w:rsidRPr="00E72EC0" w:rsidRDefault="008E311B" w:rsidP="00ED7E92">
      <w:pPr>
        <w:jc w:val="both"/>
        <w:rPr>
          <w:rFonts w:cs="Times New Roman"/>
        </w:rPr>
      </w:pPr>
      <w:r>
        <w:rPr>
          <w:rFonts w:cs="Times New Roman"/>
        </w:rPr>
        <w:t xml:space="preserve">Organizator dopuszcza  możliwość wykonywania : </w:t>
      </w:r>
      <w:r w:rsidRPr="00E72EC0">
        <w:rPr>
          <w:rFonts w:cs="Times New Roman"/>
        </w:rPr>
        <w:t xml:space="preserve">„wkłucia </w:t>
      </w:r>
      <w:proofErr w:type="spellStart"/>
      <w:r w:rsidRPr="00E72EC0">
        <w:rPr>
          <w:rFonts w:cs="Times New Roman"/>
        </w:rPr>
        <w:t>doszpikowe</w:t>
      </w:r>
      <w:proofErr w:type="spellEnd"/>
      <w:r w:rsidRPr="00E72EC0">
        <w:rPr>
          <w:rFonts w:cs="Times New Roman"/>
        </w:rPr>
        <w:t xml:space="preserve"> w prawej i lewej nodze”</w:t>
      </w:r>
      <w:r>
        <w:rPr>
          <w:rFonts w:cs="Times New Roman"/>
        </w:rPr>
        <w:t xml:space="preserve"> lub tylko „w jednej nodze”</w:t>
      </w:r>
    </w:p>
    <w:p w:rsidR="00ED7E92" w:rsidRPr="00E72EC0" w:rsidRDefault="00ED7E92" w:rsidP="00ED7E92">
      <w:pPr>
        <w:jc w:val="both"/>
        <w:rPr>
          <w:rFonts w:cs="Times New Roman"/>
        </w:rPr>
      </w:pPr>
    </w:p>
    <w:p w:rsidR="00E72EC0" w:rsidRPr="00E72EC0" w:rsidRDefault="00E72EC0" w:rsidP="00ED7E92">
      <w:pPr>
        <w:jc w:val="both"/>
        <w:rPr>
          <w:rFonts w:cs="Times New Roman"/>
          <w:b/>
          <w:u w:val="single"/>
        </w:rPr>
      </w:pPr>
      <w:r w:rsidRPr="00E72EC0">
        <w:rPr>
          <w:rFonts w:cs="Times New Roman"/>
          <w:b/>
          <w:u w:val="single"/>
        </w:rPr>
        <w:t>Pytanie:</w:t>
      </w:r>
    </w:p>
    <w:p w:rsidR="00E72EC0" w:rsidRPr="00E72EC0" w:rsidRDefault="00E72EC0" w:rsidP="00ED7E92">
      <w:pPr>
        <w:jc w:val="both"/>
        <w:rPr>
          <w:rFonts w:cs="Times New Roman"/>
        </w:rPr>
      </w:pPr>
    </w:p>
    <w:p w:rsidR="00ED7E92" w:rsidRPr="00E72EC0" w:rsidRDefault="00ED7E92" w:rsidP="00ED7E92">
      <w:pPr>
        <w:jc w:val="both"/>
        <w:rPr>
          <w:rFonts w:cs="Times New Roman"/>
          <w:u w:val="single"/>
        </w:rPr>
      </w:pPr>
      <w:r w:rsidRPr="00E72EC0">
        <w:rPr>
          <w:rFonts w:cs="Times New Roman"/>
          <w:u w:val="single"/>
        </w:rPr>
        <w:t xml:space="preserve">Pyt. 4. Dot. Poz. 6.3 Fantom BLS niemowlęcia – 2 szt. </w:t>
      </w:r>
    </w:p>
    <w:p w:rsidR="00ED7E92" w:rsidRPr="00E72EC0" w:rsidRDefault="00ED7E92" w:rsidP="00ED7E92">
      <w:pPr>
        <w:jc w:val="both"/>
        <w:rPr>
          <w:rFonts w:cs="Times New Roman"/>
        </w:rPr>
      </w:pPr>
      <w:r w:rsidRPr="00E72EC0">
        <w:rPr>
          <w:rFonts w:cs="Times New Roman"/>
        </w:rPr>
        <w:t>Zwracamy się z prośbą do Zamawiającego o zmianę zapisu w pkt. 1 z: „ Realistyczna waga (2,7kg)” na: „Waga fantomu  z torbą wynosi ok. 2,7 kg”, gdyż według naszej wiedzy i opisu na stronie producenta opisany fantom posiada proponowany przez nas parametr.</w:t>
      </w:r>
    </w:p>
    <w:p w:rsidR="00E72EC0" w:rsidRPr="00E72EC0" w:rsidRDefault="00E72EC0" w:rsidP="00ED7E92">
      <w:pPr>
        <w:jc w:val="both"/>
        <w:rPr>
          <w:rFonts w:cs="Times New Roman"/>
        </w:rPr>
      </w:pPr>
    </w:p>
    <w:p w:rsidR="00E72EC0" w:rsidRPr="008C5AF9" w:rsidRDefault="00E72EC0" w:rsidP="00E72EC0">
      <w:pPr>
        <w:jc w:val="both"/>
        <w:rPr>
          <w:rFonts w:cs="Times New Roman"/>
          <w:b/>
          <w:u w:val="single"/>
        </w:rPr>
      </w:pPr>
      <w:r w:rsidRPr="008C5AF9">
        <w:rPr>
          <w:rFonts w:cs="Times New Roman"/>
          <w:b/>
          <w:u w:val="single"/>
        </w:rPr>
        <w:t>Odpowiedź:</w:t>
      </w:r>
    </w:p>
    <w:p w:rsidR="00E72EC0" w:rsidRPr="00E72EC0" w:rsidRDefault="00E72EC0" w:rsidP="00ED7E92">
      <w:pPr>
        <w:jc w:val="both"/>
        <w:rPr>
          <w:rFonts w:cs="Times New Roman"/>
        </w:rPr>
      </w:pPr>
    </w:p>
    <w:p w:rsidR="00923C21" w:rsidRPr="00E72EC0" w:rsidRDefault="00601FD2" w:rsidP="00923C21">
      <w:pPr>
        <w:jc w:val="both"/>
        <w:rPr>
          <w:rFonts w:cs="Times New Roman"/>
        </w:rPr>
      </w:pPr>
      <w:r>
        <w:rPr>
          <w:rFonts w:cs="Times New Roman"/>
        </w:rPr>
        <w:t xml:space="preserve">Opis techniczny pozostaje bez zmian. </w:t>
      </w:r>
      <w:r w:rsidR="00923C21">
        <w:rPr>
          <w:rFonts w:cs="Times New Roman"/>
        </w:rPr>
        <w:t xml:space="preserve"> </w:t>
      </w:r>
      <w:r w:rsidR="00923C21">
        <w:rPr>
          <w:rFonts w:cs="Times New Roman"/>
        </w:rPr>
        <w:t xml:space="preserve">Symulator musi spełniać wszystkie parametry techniczne określone w specyfikacji. Jeżeli waga symulatora będzie inna niż wskazana w opisie przy jednoczesnym spełnienie wszystkich parametrów technicznych, waga symulatora może być inna niż określona w specyfikacji technicznej, jak parametr, który nie ma wpływu na wymagania merytoryczne. </w:t>
      </w:r>
    </w:p>
    <w:p w:rsidR="00E72EC0" w:rsidRPr="00E72EC0" w:rsidRDefault="00E72EC0" w:rsidP="00ED7E92">
      <w:pPr>
        <w:jc w:val="both"/>
        <w:rPr>
          <w:rFonts w:cs="Times New Roman"/>
        </w:rPr>
      </w:pPr>
    </w:p>
    <w:p w:rsidR="00E72EC0" w:rsidRPr="00E72EC0" w:rsidRDefault="00E72EC0" w:rsidP="00ED7E92">
      <w:pPr>
        <w:jc w:val="both"/>
        <w:rPr>
          <w:rFonts w:cs="Times New Roman"/>
        </w:rPr>
      </w:pPr>
    </w:p>
    <w:p w:rsidR="00E72EC0" w:rsidRPr="00E72EC0" w:rsidRDefault="00E72EC0" w:rsidP="00ED7E92">
      <w:pPr>
        <w:jc w:val="both"/>
        <w:rPr>
          <w:rFonts w:cs="Times New Roman"/>
          <w:b/>
          <w:u w:val="single"/>
        </w:rPr>
      </w:pPr>
      <w:r w:rsidRPr="00E72EC0">
        <w:rPr>
          <w:rFonts w:cs="Times New Roman"/>
          <w:b/>
          <w:u w:val="single"/>
        </w:rPr>
        <w:t>Pytanie:</w:t>
      </w:r>
    </w:p>
    <w:p w:rsidR="00ED7E92" w:rsidRPr="00E72EC0" w:rsidRDefault="00ED7E92" w:rsidP="00ED7E92">
      <w:pPr>
        <w:jc w:val="both"/>
        <w:rPr>
          <w:rFonts w:cs="Times New Roman"/>
        </w:rPr>
      </w:pPr>
    </w:p>
    <w:p w:rsidR="00ED7E92" w:rsidRPr="00E72EC0" w:rsidRDefault="00ED7E92" w:rsidP="00ED7E92">
      <w:pPr>
        <w:jc w:val="both"/>
        <w:rPr>
          <w:rFonts w:cs="Times New Roman"/>
          <w:u w:val="single"/>
        </w:rPr>
      </w:pPr>
      <w:r w:rsidRPr="00E72EC0">
        <w:rPr>
          <w:rFonts w:cs="Times New Roman"/>
          <w:u w:val="single"/>
        </w:rPr>
        <w:t>Pyt. 5. Dot. Poz. 7.1 Zaawansowany fantom pacjenta starszego 1 szt.</w:t>
      </w:r>
    </w:p>
    <w:p w:rsidR="00ED7E92" w:rsidRPr="00E72EC0" w:rsidRDefault="00ED7E92" w:rsidP="00ED7E92">
      <w:pPr>
        <w:jc w:val="both"/>
        <w:rPr>
          <w:rFonts w:cs="Times New Roman"/>
        </w:rPr>
      </w:pPr>
      <w:r w:rsidRPr="00E72EC0">
        <w:rPr>
          <w:rFonts w:cs="Times New Roman"/>
        </w:rPr>
        <w:t>Zwracamy się do Zamawiającego z prośbą o zmianę zapisu w specyfikacji w pkt. 2. Odnośnie wagi z: „ok 16,78kg” na: „12,70 kg”, gdyż według naszej wiedzy i opisu na stronie producenta opisany fantom posiada proponowany przez nas parametr.</w:t>
      </w:r>
    </w:p>
    <w:p w:rsidR="00E72EC0" w:rsidRPr="00E72EC0" w:rsidRDefault="00E72EC0" w:rsidP="00ED7E92">
      <w:pPr>
        <w:jc w:val="both"/>
        <w:rPr>
          <w:rFonts w:cs="Times New Roman"/>
        </w:rPr>
      </w:pPr>
    </w:p>
    <w:p w:rsidR="00E72EC0" w:rsidRPr="00923C21" w:rsidRDefault="00E72EC0" w:rsidP="00ED7E92">
      <w:pPr>
        <w:jc w:val="both"/>
        <w:rPr>
          <w:rFonts w:cs="Times New Roman"/>
        </w:rPr>
      </w:pPr>
    </w:p>
    <w:p w:rsidR="00E72EC0" w:rsidRPr="00923C21" w:rsidRDefault="00E72EC0" w:rsidP="00E72EC0">
      <w:pPr>
        <w:jc w:val="both"/>
        <w:rPr>
          <w:rFonts w:cs="Times New Roman"/>
          <w:b/>
          <w:u w:val="single"/>
        </w:rPr>
      </w:pPr>
      <w:r w:rsidRPr="00923C21">
        <w:rPr>
          <w:rFonts w:cs="Times New Roman"/>
          <w:b/>
          <w:u w:val="single"/>
        </w:rPr>
        <w:t>Odpowiedź:</w:t>
      </w:r>
    </w:p>
    <w:p w:rsidR="00E72EC0" w:rsidRDefault="00E72EC0" w:rsidP="00ED7E92">
      <w:pPr>
        <w:jc w:val="both"/>
        <w:rPr>
          <w:rFonts w:cs="Times New Roman"/>
        </w:rPr>
      </w:pPr>
    </w:p>
    <w:p w:rsidR="007D5F34" w:rsidRPr="00E72EC0" w:rsidRDefault="00923C21" w:rsidP="00ED7E92">
      <w:pPr>
        <w:jc w:val="both"/>
        <w:rPr>
          <w:rFonts w:cs="Times New Roman"/>
        </w:rPr>
      </w:pPr>
      <w:r>
        <w:rPr>
          <w:rFonts w:cs="Times New Roman"/>
        </w:rPr>
        <w:t xml:space="preserve">Opis techniczny pozostaje bez zmian.  </w:t>
      </w:r>
      <w:bookmarkStart w:id="0" w:name="_GoBack"/>
      <w:bookmarkEnd w:id="0"/>
      <w:r>
        <w:rPr>
          <w:rFonts w:cs="Times New Roman"/>
        </w:rPr>
        <w:t xml:space="preserve">Symulator musi spełniać wszystkie parametry techniczne określone w specyfikacji. Jeżeli waga symulatora będzie inna niż wskazana w opisie przy jednoczesnym spełnienie wszystkich parametrów technicznych, waga symulatora może być inna niż określona w specyfikacji technicznej, jak parametr, który nie ma wpływu na wymagania merytoryczne. </w:t>
      </w:r>
    </w:p>
    <w:p w:rsidR="00ED7E92" w:rsidRPr="00E72EC0" w:rsidRDefault="00ED7E92" w:rsidP="00ED7E92">
      <w:pPr>
        <w:jc w:val="both"/>
        <w:rPr>
          <w:rFonts w:cs="Times New Roman"/>
          <w:u w:val="single"/>
        </w:rPr>
      </w:pPr>
    </w:p>
    <w:p w:rsidR="00E72EC0" w:rsidRPr="00B96A4F" w:rsidRDefault="00E72EC0" w:rsidP="00ED7E92">
      <w:pPr>
        <w:jc w:val="both"/>
        <w:rPr>
          <w:rFonts w:cs="Times New Roman"/>
          <w:b/>
          <w:u w:val="single"/>
        </w:rPr>
      </w:pPr>
      <w:r w:rsidRPr="00B96A4F">
        <w:rPr>
          <w:rFonts w:cs="Times New Roman"/>
          <w:b/>
          <w:u w:val="single"/>
        </w:rPr>
        <w:t>Pytanie:</w:t>
      </w:r>
    </w:p>
    <w:p w:rsidR="00ED7E92" w:rsidRPr="00E72EC0" w:rsidRDefault="00ED7E92" w:rsidP="00ED7E92">
      <w:pPr>
        <w:jc w:val="both"/>
        <w:rPr>
          <w:rFonts w:cs="Times New Roman"/>
          <w:u w:val="single"/>
        </w:rPr>
      </w:pPr>
      <w:r w:rsidRPr="00E72EC0">
        <w:rPr>
          <w:rFonts w:cs="Times New Roman"/>
          <w:u w:val="single"/>
        </w:rPr>
        <w:t>Pyt. 6. Dot. Poz. 7.2 Zaawansowany fantom pacjenta dorosłego – 2 szt.</w:t>
      </w:r>
    </w:p>
    <w:p w:rsidR="00ED7E92" w:rsidRPr="00E72EC0" w:rsidRDefault="00ED7E92" w:rsidP="00ED7E92">
      <w:pPr>
        <w:jc w:val="both"/>
        <w:rPr>
          <w:rFonts w:cs="Times New Roman"/>
        </w:rPr>
      </w:pPr>
      <w:r w:rsidRPr="00E72EC0">
        <w:rPr>
          <w:rFonts w:cs="Times New Roman"/>
        </w:rPr>
        <w:lastRenderedPageBreak/>
        <w:t xml:space="preserve">Zwracamy się do Zamawiającego z prośbą o rezygnację z wymogu z pkt. 8 „pielęgnacji </w:t>
      </w:r>
      <w:proofErr w:type="spellStart"/>
      <w:r w:rsidRPr="00E72EC0">
        <w:rPr>
          <w:rFonts w:cs="Times New Roman"/>
        </w:rPr>
        <w:t>stomii</w:t>
      </w:r>
      <w:proofErr w:type="spellEnd"/>
      <w:r w:rsidRPr="00E72EC0">
        <w:rPr>
          <w:rFonts w:cs="Times New Roman"/>
        </w:rPr>
        <w:t xml:space="preserve"> nadłonowej”, gdyż według naszej wiedzy, opisu i instrukcji obsługi producenta opisany w specyfikacji fantom nie posiada ww. parametru.</w:t>
      </w:r>
    </w:p>
    <w:p w:rsidR="00E72EC0" w:rsidRPr="00E72EC0" w:rsidRDefault="00E72EC0" w:rsidP="00ED7E92">
      <w:pPr>
        <w:jc w:val="both"/>
        <w:rPr>
          <w:rFonts w:cs="Times New Roman"/>
        </w:rPr>
      </w:pPr>
    </w:p>
    <w:p w:rsidR="00E72EC0" w:rsidRPr="00E72EC0" w:rsidRDefault="00E72EC0" w:rsidP="00ED7E92">
      <w:pPr>
        <w:jc w:val="both"/>
        <w:rPr>
          <w:rFonts w:cs="Times New Roman"/>
        </w:rPr>
      </w:pPr>
    </w:p>
    <w:p w:rsidR="00E72EC0" w:rsidRPr="007D5F34" w:rsidRDefault="00E72EC0" w:rsidP="00E72EC0">
      <w:pPr>
        <w:jc w:val="both"/>
        <w:rPr>
          <w:rFonts w:cs="Times New Roman"/>
          <w:b/>
          <w:u w:val="single"/>
        </w:rPr>
      </w:pPr>
      <w:r w:rsidRPr="007D5F34">
        <w:rPr>
          <w:rFonts w:cs="Times New Roman"/>
          <w:b/>
          <w:u w:val="single"/>
        </w:rPr>
        <w:t>Odpowiedź:</w:t>
      </w:r>
    </w:p>
    <w:p w:rsidR="00E72EC0" w:rsidRPr="00E72EC0" w:rsidRDefault="00E72EC0" w:rsidP="00ED7E92">
      <w:pPr>
        <w:jc w:val="both"/>
        <w:rPr>
          <w:rFonts w:cs="Times New Roman"/>
        </w:rPr>
      </w:pPr>
    </w:p>
    <w:p w:rsidR="00E72EC0" w:rsidRPr="00E72EC0" w:rsidRDefault="007D5F34" w:rsidP="00ED7E92">
      <w:pPr>
        <w:jc w:val="both"/>
        <w:rPr>
          <w:rFonts w:cs="Times New Roman"/>
        </w:rPr>
      </w:pPr>
      <w:r>
        <w:rPr>
          <w:rFonts w:cs="Times New Roman"/>
        </w:rPr>
        <w:t xml:space="preserve">Organizator nie dopuszcza możliwości Zmiany opisu wymagań technicznych. </w:t>
      </w:r>
    </w:p>
    <w:p w:rsidR="00E72EC0" w:rsidRPr="00E72EC0" w:rsidRDefault="00E72EC0" w:rsidP="00ED7E92">
      <w:pPr>
        <w:jc w:val="both"/>
        <w:rPr>
          <w:rFonts w:cs="Times New Roman"/>
        </w:rPr>
      </w:pPr>
    </w:p>
    <w:p w:rsidR="00E72EC0" w:rsidRPr="00E72EC0" w:rsidRDefault="00E72EC0" w:rsidP="00ED7E92">
      <w:pPr>
        <w:jc w:val="both"/>
        <w:rPr>
          <w:rFonts w:cs="Times New Roman"/>
          <w:b/>
          <w:u w:val="single"/>
        </w:rPr>
      </w:pPr>
      <w:r w:rsidRPr="00E72EC0">
        <w:rPr>
          <w:rFonts w:cs="Times New Roman"/>
          <w:b/>
          <w:u w:val="single"/>
        </w:rPr>
        <w:t>Pytanie:</w:t>
      </w:r>
    </w:p>
    <w:p w:rsidR="00ED7E92" w:rsidRPr="00E72EC0" w:rsidRDefault="00ED7E92" w:rsidP="00ED7E92">
      <w:pPr>
        <w:jc w:val="both"/>
        <w:rPr>
          <w:rFonts w:cs="Times New Roman"/>
        </w:rPr>
      </w:pPr>
    </w:p>
    <w:p w:rsidR="00ED7E92" w:rsidRPr="00E72EC0" w:rsidRDefault="00ED7E92" w:rsidP="00ED7E92">
      <w:pPr>
        <w:jc w:val="both"/>
        <w:rPr>
          <w:rFonts w:cs="Times New Roman"/>
          <w:u w:val="single"/>
        </w:rPr>
      </w:pPr>
      <w:r w:rsidRPr="00E72EC0">
        <w:rPr>
          <w:rFonts w:cs="Times New Roman"/>
          <w:u w:val="single"/>
        </w:rPr>
        <w:t>Pyt. 7. Dot. Kary umowne:</w:t>
      </w:r>
    </w:p>
    <w:p w:rsidR="00ED7E92" w:rsidRPr="00E72EC0" w:rsidRDefault="00ED7E92" w:rsidP="00ED7E92">
      <w:pPr>
        <w:jc w:val="both"/>
        <w:rPr>
          <w:rFonts w:cs="Times New Roman"/>
        </w:rPr>
      </w:pPr>
      <w:r w:rsidRPr="00E72EC0">
        <w:rPr>
          <w:rFonts w:cs="Times New Roman"/>
        </w:rPr>
        <w:t>Zwracamy się do Zamawiającego z prośbą o zmianę zapisu dotyczącej kary umownej z: „0,25% od całości wartości umowy za każdy dzień opóźnienia w realizacji umowy” na: „0,25% od wartości przedmiotu, który nie został dostarczony w terminie za każdy dzień opóźnienia w realizacji umowy”.</w:t>
      </w:r>
    </w:p>
    <w:p w:rsidR="00ED7E92" w:rsidRPr="00E72EC0" w:rsidRDefault="00ED7E92" w:rsidP="00CF28D0">
      <w:pPr>
        <w:rPr>
          <w:rFonts w:eastAsia="Times New Roman" w:cs="Calibri"/>
          <w:color w:val="000000"/>
          <w:lang w:eastAsia="pl-PL"/>
        </w:rPr>
      </w:pPr>
    </w:p>
    <w:p w:rsidR="00ED7E92" w:rsidRPr="00E72EC0" w:rsidRDefault="00ED7E92" w:rsidP="00CF28D0">
      <w:pPr>
        <w:rPr>
          <w:rFonts w:eastAsia="Times New Roman" w:cs="Calibri"/>
          <w:color w:val="000000"/>
          <w:lang w:eastAsia="pl-PL"/>
        </w:rPr>
      </w:pPr>
    </w:p>
    <w:p w:rsidR="00ED7E92" w:rsidRPr="00E72EC0" w:rsidRDefault="00E72EC0" w:rsidP="00CF28D0">
      <w:pPr>
        <w:rPr>
          <w:rFonts w:eastAsia="Times New Roman" w:cs="Calibri"/>
          <w:b/>
          <w:color w:val="000000"/>
          <w:u w:val="single"/>
          <w:lang w:eastAsia="pl-PL"/>
        </w:rPr>
      </w:pPr>
      <w:r w:rsidRPr="00E72EC0">
        <w:rPr>
          <w:rFonts w:eastAsia="Times New Roman" w:cs="Calibri"/>
          <w:b/>
          <w:color w:val="000000"/>
          <w:u w:val="single"/>
          <w:lang w:eastAsia="pl-PL"/>
        </w:rPr>
        <w:t>Odpowiedź:</w:t>
      </w:r>
    </w:p>
    <w:p w:rsidR="00E72EC0" w:rsidRPr="00E72EC0" w:rsidRDefault="00E72EC0" w:rsidP="00CF28D0">
      <w:pPr>
        <w:rPr>
          <w:rFonts w:eastAsia="Times New Roman" w:cs="Calibri"/>
          <w:color w:val="000000"/>
          <w:lang w:eastAsia="pl-PL"/>
        </w:rPr>
      </w:pPr>
    </w:p>
    <w:p w:rsidR="00E72EC0" w:rsidRPr="00E72EC0" w:rsidRDefault="00E72EC0" w:rsidP="00E72EC0">
      <w:pPr>
        <w:jc w:val="both"/>
        <w:rPr>
          <w:rFonts w:eastAsia="Times New Roman" w:cs="Calibri"/>
          <w:color w:val="000000"/>
          <w:lang w:eastAsia="pl-PL"/>
        </w:rPr>
      </w:pPr>
      <w:r w:rsidRPr="00E72EC0">
        <w:rPr>
          <w:rFonts w:eastAsia="Times New Roman" w:cs="Calibri"/>
          <w:color w:val="000000"/>
          <w:lang w:eastAsia="pl-PL"/>
        </w:rPr>
        <w:t xml:space="preserve">Organizatorów nie zmieni zapisu dotyczącego kar umownych. Z uwagi na to, że Oferent składa ofertę na całość zamówienia, umowa podpisywana jest na całość zamienienia z tym samym terminem dostawy dla całości oferowanego przedmiotu, karty umowne dotyczą całości postepowania.  Z uwagi na istotny interes Organizatora tj. planowany termin uruchomienie MCS, który jest ściśle powiązany z organizacją roku akademickiego, każde opóźnienie będzie miało wpływ na wywiązanie się Uczelni ze zobowiązań. W związku z tym, zapis pozostaje bez zmian.  Z informacji zebranych od różnych producentów i dostawców, termin zaplanowany w Ogłoszeniu na dostawę sprzętu jest wystarczający, aby oferenci mogli wywiązać się ze zobowiązań. </w:t>
      </w:r>
    </w:p>
    <w:p w:rsidR="00ED7E92" w:rsidRPr="00E72EC0" w:rsidRDefault="00ED7E92" w:rsidP="00CF28D0">
      <w:pPr>
        <w:rPr>
          <w:rFonts w:eastAsia="Times New Roman" w:cs="Calibri"/>
          <w:color w:val="000000"/>
          <w:lang w:eastAsia="pl-PL"/>
        </w:rPr>
      </w:pPr>
    </w:p>
    <w:p w:rsidR="00E72EC0" w:rsidRPr="00E72EC0" w:rsidRDefault="00E72EC0" w:rsidP="00CF28D0">
      <w:pPr>
        <w:rPr>
          <w:rFonts w:eastAsia="Times New Roman" w:cs="Calibri"/>
          <w:b/>
          <w:color w:val="000000"/>
          <w:lang w:eastAsia="pl-PL"/>
        </w:rPr>
      </w:pPr>
    </w:p>
    <w:p w:rsidR="00E72EC0" w:rsidRPr="00E72EC0" w:rsidRDefault="00E72EC0" w:rsidP="00CF28D0">
      <w:pPr>
        <w:rPr>
          <w:rFonts w:eastAsia="Times New Roman" w:cs="Calibri"/>
          <w:b/>
          <w:color w:val="000000"/>
          <w:u w:val="single"/>
          <w:lang w:eastAsia="pl-PL"/>
        </w:rPr>
      </w:pPr>
      <w:r w:rsidRPr="00E72EC0">
        <w:rPr>
          <w:rFonts w:eastAsia="Times New Roman" w:cs="Calibri"/>
          <w:b/>
          <w:color w:val="000000"/>
          <w:u w:val="single"/>
          <w:lang w:eastAsia="pl-PL"/>
        </w:rPr>
        <w:t>Pytanie:</w:t>
      </w:r>
    </w:p>
    <w:p w:rsidR="00E72EC0" w:rsidRPr="00E72EC0" w:rsidRDefault="00E72EC0" w:rsidP="00CF28D0">
      <w:pPr>
        <w:rPr>
          <w:rFonts w:eastAsia="Times New Roman" w:cs="Calibri"/>
          <w:b/>
          <w:color w:val="000000"/>
          <w:lang w:eastAsia="pl-PL"/>
        </w:rPr>
      </w:pPr>
    </w:p>
    <w:p w:rsidR="00CF28D0" w:rsidRPr="00E72EC0" w:rsidRDefault="00E72EC0" w:rsidP="00E72EC0">
      <w:pPr>
        <w:jc w:val="both"/>
        <w:rPr>
          <w:rFonts w:eastAsia="Times New Roman" w:cs="Calibri"/>
          <w:color w:val="000000"/>
          <w:lang w:eastAsia="pl-PL"/>
        </w:rPr>
      </w:pPr>
      <w:r w:rsidRPr="00E72EC0">
        <w:rPr>
          <w:rFonts w:eastAsia="Times New Roman" w:cs="Calibri"/>
          <w:color w:val="000000"/>
          <w:lang w:eastAsia="pl-PL"/>
        </w:rPr>
        <w:t xml:space="preserve">Cyt. „ </w:t>
      </w:r>
      <w:r w:rsidR="00CF28D0" w:rsidRPr="00E72EC0">
        <w:rPr>
          <w:rFonts w:eastAsia="Times New Roman" w:cs="Calibri"/>
          <w:color w:val="000000"/>
          <w:lang w:eastAsia="pl-PL"/>
        </w:rPr>
        <w:t>Na Państwa stronie brak załącznika nr 5 odnośnie postępowań:</w:t>
      </w:r>
    </w:p>
    <w:p w:rsidR="00CF28D0" w:rsidRPr="00E72EC0" w:rsidRDefault="00CF28D0" w:rsidP="00E72EC0">
      <w:pPr>
        <w:jc w:val="both"/>
        <w:rPr>
          <w:rFonts w:eastAsia="Times New Roman" w:cs="Calibri"/>
          <w:color w:val="000000"/>
          <w:lang w:eastAsia="pl-PL"/>
        </w:rPr>
      </w:pPr>
      <w:r w:rsidRPr="00E72EC0">
        <w:rPr>
          <w:rFonts w:eastAsia="Times New Roman" w:cs="Calibri"/>
          <w:color w:val="000000"/>
          <w:lang w:eastAsia="pl-PL"/>
        </w:rPr>
        <w:t xml:space="preserve">- Zakup, dostawa, </w:t>
      </w:r>
      <w:proofErr w:type="spellStart"/>
      <w:r w:rsidRPr="00E72EC0">
        <w:rPr>
          <w:rFonts w:eastAsia="Times New Roman" w:cs="Calibri"/>
          <w:color w:val="000000"/>
          <w:lang w:eastAsia="pl-PL"/>
        </w:rPr>
        <w:t>montaz</w:t>
      </w:r>
      <w:proofErr w:type="spellEnd"/>
      <w:r w:rsidRPr="00E72EC0">
        <w:rPr>
          <w:rFonts w:eastAsia="Times New Roman" w:cs="Calibri"/>
          <w:color w:val="000000"/>
          <w:lang w:eastAsia="pl-PL"/>
        </w:rPr>
        <w:t xml:space="preserve">̇ i uruchomienie zaawansowanych </w:t>
      </w:r>
      <w:proofErr w:type="spellStart"/>
      <w:r w:rsidRPr="00E72EC0">
        <w:rPr>
          <w:rFonts w:eastAsia="Times New Roman" w:cs="Calibri"/>
          <w:color w:val="000000"/>
          <w:lang w:eastAsia="pl-PL"/>
        </w:rPr>
        <w:t>symulatorów</w:t>
      </w:r>
      <w:proofErr w:type="spellEnd"/>
      <w:r w:rsidRPr="00E72EC0">
        <w:rPr>
          <w:rFonts w:eastAsia="Times New Roman" w:cs="Calibri"/>
          <w:color w:val="000000"/>
          <w:lang w:eastAsia="pl-PL"/>
        </w:rPr>
        <w:t xml:space="preserve"> medycznych jako </w:t>
      </w:r>
      <w:proofErr w:type="spellStart"/>
      <w:r w:rsidRPr="00E72EC0">
        <w:rPr>
          <w:rFonts w:eastAsia="Times New Roman" w:cs="Calibri"/>
          <w:color w:val="000000"/>
          <w:lang w:eastAsia="pl-PL"/>
        </w:rPr>
        <w:t>wyposażenia</w:t>
      </w:r>
      <w:proofErr w:type="spellEnd"/>
      <w:r w:rsidRPr="00E72EC0">
        <w:rPr>
          <w:rFonts w:eastAsia="Times New Roman" w:cs="Calibri"/>
          <w:color w:val="000000"/>
          <w:lang w:eastAsia="pl-PL"/>
        </w:rPr>
        <w:t xml:space="preserve"> sal MCSM WSEI w Lublinie</w:t>
      </w:r>
      <w:r w:rsidR="00E72EC0" w:rsidRPr="00E72EC0">
        <w:rPr>
          <w:rFonts w:eastAsia="Times New Roman" w:cs="Calibri"/>
          <w:color w:val="000000"/>
          <w:lang w:eastAsia="pl-PL"/>
        </w:rPr>
        <w:t>”</w:t>
      </w:r>
    </w:p>
    <w:p w:rsidR="00E72EC0" w:rsidRPr="00E72EC0" w:rsidRDefault="00E72EC0" w:rsidP="00CF28D0">
      <w:pPr>
        <w:rPr>
          <w:rFonts w:eastAsia="Times New Roman" w:cs="Calibri"/>
          <w:b/>
          <w:color w:val="000000"/>
          <w:lang w:eastAsia="pl-PL"/>
        </w:rPr>
      </w:pPr>
    </w:p>
    <w:p w:rsidR="00E72EC0" w:rsidRPr="00E72EC0" w:rsidRDefault="00E72EC0" w:rsidP="00CF28D0">
      <w:pPr>
        <w:rPr>
          <w:rFonts w:eastAsia="Times New Roman" w:cs="Calibri"/>
          <w:b/>
          <w:color w:val="000000"/>
          <w:lang w:eastAsia="pl-PL"/>
        </w:rPr>
      </w:pPr>
    </w:p>
    <w:p w:rsidR="00E72EC0" w:rsidRPr="00E72EC0" w:rsidRDefault="00E72EC0" w:rsidP="00CF28D0">
      <w:pPr>
        <w:rPr>
          <w:rFonts w:eastAsia="Times New Roman" w:cs="Calibri"/>
          <w:b/>
          <w:color w:val="000000"/>
          <w:lang w:eastAsia="pl-PL"/>
        </w:rPr>
      </w:pPr>
      <w:r w:rsidRPr="00E72EC0">
        <w:rPr>
          <w:rFonts w:eastAsia="Times New Roman" w:cs="Calibri"/>
          <w:b/>
          <w:color w:val="000000"/>
          <w:lang w:eastAsia="pl-PL"/>
        </w:rPr>
        <w:t>Odpowiedź:</w:t>
      </w:r>
    </w:p>
    <w:p w:rsidR="00E72EC0" w:rsidRPr="00E72EC0" w:rsidRDefault="00E72EC0" w:rsidP="00CF28D0">
      <w:pPr>
        <w:rPr>
          <w:rFonts w:eastAsia="Times New Roman" w:cs="Calibri"/>
          <w:b/>
          <w:color w:val="000000"/>
          <w:lang w:eastAsia="pl-PL"/>
        </w:rPr>
      </w:pPr>
    </w:p>
    <w:p w:rsidR="00E72EC0" w:rsidRPr="00E72EC0" w:rsidRDefault="00E72EC0" w:rsidP="00CF28D0">
      <w:pPr>
        <w:rPr>
          <w:rFonts w:eastAsia="Times New Roman" w:cs="Calibri"/>
          <w:color w:val="000000"/>
          <w:lang w:eastAsia="pl-PL"/>
        </w:rPr>
      </w:pPr>
      <w:r w:rsidRPr="00E72EC0">
        <w:rPr>
          <w:rFonts w:eastAsia="Times New Roman" w:cs="Calibri"/>
          <w:color w:val="000000"/>
          <w:lang w:eastAsia="pl-PL"/>
        </w:rPr>
        <w:t xml:space="preserve">Załącznik został zamieszczony. </w:t>
      </w:r>
    </w:p>
    <w:p w:rsidR="00CF28D0" w:rsidRPr="00E72EC0" w:rsidRDefault="00CF28D0" w:rsidP="00CF28D0">
      <w:pPr>
        <w:rPr>
          <w:rFonts w:eastAsia="Times New Roman" w:cs="Calibri"/>
          <w:b/>
          <w:color w:val="000000"/>
          <w:lang w:eastAsia="pl-PL"/>
        </w:rPr>
      </w:pPr>
      <w:r w:rsidRPr="00E72EC0">
        <w:rPr>
          <w:rFonts w:eastAsia="Times New Roman" w:cs="Calibri"/>
          <w:b/>
          <w:color w:val="000000"/>
          <w:lang w:eastAsia="pl-PL"/>
        </w:rPr>
        <w:t> </w:t>
      </w:r>
    </w:p>
    <w:p w:rsidR="00321DBC" w:rsidRPr="00E72EC0" w:rsidRDefault="00321DBC" w:rsidP="001F6003"/>
    <w:sectPr w:rsidR="00321DBC" w:rsidRPr="00E72EC0" w:rsidSect="00E3271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Bold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2C2BF0"/>
    <w:multiLevelType w:val="hybridMultilevel"/>
    <w:tmpl w:val="CD1AF6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4D70CA"/>
    <w:multiLevelType w:val="hybridMultilevel"/>
    <w:tmpl w:val="CD1AF6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4701D6E"/>
    <w:multiLevelType w:val="hybridMultilevel"/>
    <w:tmpl w:val="CD1AF6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56C5138"/>
    <w:multiLevelType w:val="hybridMultilevel"/>
    <w:tmpl w:val="CD1AF6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927785D"/>
    <w:multiLevelType w:val="hybridMultilevel"/>
    <w:tmpl w:val="CD1AF6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2E410C1"/>
    <w:multiLevelType w:val="hybridMultilevel"/>
    <w:tmpl w:val="CD1AF6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ADC0CE4"/>
    <w:multiLevelType w:val="hybridMultilevel"/>
    <w:tmpl w:val="CD1AF6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0"/>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806"/>
    <w:rsid w:val="00003636"/>
    <w:rsid w:val="00013A8F"/>
    <w:rsid w:val="0002259B"/>
    <w:rsid w:val="001F6003"/>
    <w:rsid w:val="002366F7"/>
    <w:rsid w:val="00321DBC"/>
    <w:rsid w:val="00457750"/>
    <w:rsid w:val="00563753"/>
    <w:rsid w:val="005E7D66"/>
    <w:rsid w:val="00601FD2"/>
    <w:rsid w:val="00614FBD"/>
    <w:rsid w:val="00615CF0"/>
    <w:rsid w:val="00677E9F"/>
    <w:rsid w:val="006B3F92"/>
    <w:rsid w:val="00753806"/>
    <w:rsid w:val="00760AB6"/>
    <w:rsid w:val="00792DDA"/>
    <w:rsid w:val="007B2A76"/>
    <w:rsid w:val="007D5F34"/>
    <w:rsid w:val="008C5AF9"/>
    <w:rsid w:val="008E311B"/>
    <w:rsid w:val="00910582"/>
    <w:rsid w:val="00923C21"/>
    <w:rsid w:val="00941C13"/>
    <w:rsid w:val="00991CF8"/>
    <w:rsid w:val="009D5E79"/>
    <w:rsid w:val="009E140A"/>
    <w:rsid w:val="009F684E"/>
    <w:rsid w:val="00A73CFB"/>
    <w:rsid w:val="00B96A4F"/>
    <w:rsid w:val="00C014B0"/>
    <w:rsid w:val="00C77E14"/>
    <w:rsid w:val="00CB5659"/>
    <w:rsid w:val="00CF28D0"/>
    <w:rsid w:val="00D3358E"/>
    <w:rsid w:val="00DB2B60"/>
    <w:rsid w:val="00E3271B"/>
    <w:rsid w:val="00E72EC0"/>
    <w:rsid w:val="00E96BDC"/>
    <w:rsid w:val="00ED7E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2CFB1DFD-CE80-BD4B-830A-BA0C4663D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D5E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34431">
      <w:bodyDiv w:val="1"/>
      <w:marLeft w:val="0"/>
      <w:marRight w:val="0"/>
      <w:marTop w:val="0"/>
      <w:marBottom w:val="0"/>
      <w:divBdr>
        <w:top w:val="none" w:sz="0" w:space="0" w:color="auto"/>
        <w:left w:val="none" w:sz="0" w:space="0" w:color="auto"/>
        <w:bottom w:val="none" w:sz="0" w:space="0" w:color="auto"/>
        <w:right w:val="none" w:sz="0" w:space="0" w:color="auto"/>
      </w:divBdr>
    </w:div>
    <w:div w:id="192075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976</Words>
  <Characters>5856</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Wioletta Biuro</dc:creator>
  <cp:keywords/>
  <dc:description/>
  <cp:lastModifiedBy>Marta Drygała</cp:lastModifiedBy>
  <cp:revision>13</cp:revision>
  <cp:lastPrinted>2018-07-06T07:49:00Z</cp:lastPrinted>
  <dcterms:created xsi:type="dcterms:W3CDTF">2018-07-07T08:13:00Z</dcterms:created>
  <dcterms:modified xsi:type="dcterms:W3CDTF">2018-07-10T06:33:00Z</dcterms:modified>
</cp:coreProperties>
</file>